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670CA2" w:rsidP="00C911B8">
      <w:pPr>
        <w:spacing w:after="120" w:line="360" w:lineRule="auto"/>
        <w:ind w:left="284" w:right="902"/>
      </w:pPr>
      <w:r>
        <w:t xml:space="preserve">Name: </w:t>
      </w:r>
      <w:r w:rsidR="003937FE">
        <w:t>Dejan Rancic</w:t>
      </w:r>
    </w:p>
    <w:p w:rsidR="00670CA2" w:rsidRDefault="00670CA2" w:rsidP="00C911B8">
      <w:pPr>
        <w:spacing w:after="120" w:line="360" w:lineRule="auto"/>
        <w:ind w:left="284" w:right="902"/>
      </w:pPr>
      <w:r>
        <w:t xml:space="preserve">E-mail: </w:t>
      </w:r>
      <w:r w:rsidR="003937FE">
        <w:t>dejan</w:t>
      </w:r>
      <w:r w:rsidR="00FC1185">
        <w:t>.</w:t>
      </w:r>
      <w:r w:rsidR="003937FE">
        <w:t>rancic</w:t>
      </w:r>
      <w:r w:rsidR="00FC1185">
        <w:t>@</w:t>
      </w:r>
      <w:r w:rsidR="003937FE">
        <w:t>elfak</w:t>
      </w:r>
      <w:r w:rsidR="00FC1185">
        <w:t>.ni.ac.rs</w:t>
      </w:r>
    </w:p>
    <w:p w:rsidR="00670CA2" w:rsidRDefault="00670CA2" w:rsidP="00C911B8">
      <w:pPr>
        <w:spacing w:after="120" w:line="360" w:lineRule="auto"/>
        <w:ind w:left="284" w:right="902"/>
      </w:pPr>
      <w:r>
        <w:t xml:space="preserve">Institution: </w:t>
      </w:r>
      <w:r w:rsidR="00FC1185">
        <w:t>University of Nis</w:t>
      </w:r>
      <w:r w:rsidR="003937FE">
        <w:t xml:space="preserve">, </w:t>
      </w:r>
      <w:r w:rsidR="003937FE" w:rsidRPr="00DD5C70">
        <w:rPr>
          <w:rFonts w:cs="Times New Roman"/>
          <w:color w:val="000000"/>
          <w:lang w:val="en-US"/>
        </w:rPr>
        <w:t xml:space="preserve">Faculty of Electronic Engineering </w:t>
      </w:r>
    </w:p>
    <w:tbl>
      <w:tblPr>
        <w:tblStyle w:val="TableGrid"/>
        <w:tblW w:w="0" w:type="auto"/>
        <w:tblInd w:w="284" w:type="dxa"/>
        <w:tblLook w:val="04A0"/>
      </w:tblPr>
      <w:tblGrid>
        <w:gridCol w:w="2518"/>
        <w:gridCol w:w="7614"/>
      </w:tblGrid>
      <w:tr w:rsidR="00670CA2" w:rsidTr="003937FE">
        <w:trPr>
          <w:trHeight w:val="5460"/>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3937FE" w:rsidRDefault="003937FE" w:rsidP="003937FE">
            <w:pPr>
              <w:tabs>
                <w:tab w:val="left" w:pos="3649"/>
                <w:tab w:val="left" w:pos="5349"/>
                <w:tab w:val="left" w:pos="7992"/>
                <w:tab w:val="left" w:pos="9409"/>
                <w:tab w:val="left" w:pos="10778"/>
              </w:tabs>
              <w:jc w:val="both"/>
              <w:rPr>
                <w:rFonts w:cs="Times New Roman"/>
                <w:color w:val="000000"/>
                <w:lang w:val="en-US"/>
              </w:rPr>
            </w:pPr>
            <w:proofErr w:type="spellStart"/>
            <w:r w:rsidRPr="00511D43">
              <w:rPr>
                <w:rFonts w:cs="Times New Roman"/>
                <w:b/>
                <w:color w:val="000000"/>
                <w:lang w:val="en-US"/>
              </w:rPr>
              <w:t>D</w:t>
            </w:r>
            <w:r>
              <w:rPr>
                <w:rFonts w:cs="Times New Roman"/>
                <w:b/>
                <w:color w:val="000000"/>
                <w:lang w:val="en-US"/>
              </w:rPr>
              <w:t>ejan</w:t>
            </w:r>
            <w:proofErr w:type="spellEnd"/>
            <w:r>
              <w:rPr>
                <w:rFonts w:cs="Times New Roman"/>
                <w:b/>
                <w:color w:val="000000"/>
              </w:rPr>
              <w:t>Rancic</w:t>
            </w:r>
            <w:r w:rsidRPr="00E635FD">
              <w:rPr>
                <w:rFonts w:cs="Times New Roman"/>
                <w:color w:val="000000"/>
              </w:rPr>
              <w:t>, PhD,</w:t>
            </w:r>
            <w:r>
              <w:rPr>
                <w:rFonts w:cs="Times New Roman"/>
                <w:color w:val="000000"/>
              </w:rPr>
              <w:t xml:space="preserve"> </w:t>
            </w:r>
            <w:r w:rsidRPr="00E635FD">
              <w:rPr>
                <w:rFonts w:cs="Times New Roman"/>
                <w:color w:val="000000"/>
              </w:rPr>
              <w:t xml:space="preserve">full professor at </w:t>
            </w:r>
            <w:r w:rsidRPr="00E635FD">
              <w:rPr>
                <w:color w:val="000000"/>
              </w:rPr>
              <w:t>the University of Nis</w:t>
            </w:r>
            <w:proofErr w:type="gramStart"/>
            <w:r>
              <w:rPr>
                <w:rFonts w:cs="Times New Roman"/>
                <w:color w:val="000000"/>
                <w:lang w:val="en-US"/>
              </w:rPr>
              <w:t>,</w:t>
            </w:r>
            <w:r w:rsidRPr="00DD5C70">
              <w:rPr>
                <w:rFonts w:cs="Times New Roman"/>
                <w:color w:val="000000"/>
                <w:lang w:val="en-US"/>
              </w:rPr>
              <w:t>was</w:t>
            </w:r>
            <w:proofErr w:type="gramEnd"/>
            <w:r w:rsidRPr="00DD5C70">
              <w:rPr>
                <w:rFonts w:cs="Times New Roman"/>
                <w:color w:val="000000"/>
                <w:lang w:val="en-US"/>
              </w:rPr>
              <w:t xml:space="preserve"> born in 196</w:t>
            </w:r>
            <w:r>
              <w:rPr>
                <w:rFonts w:cs="Times New Roman"/>
                <w:color w:val="000000"/>
                <w:lang w:val="en-US"/>
              </w:rPr>
              <w:t>8</w:t>
            </w:r>
            <w:r w:rsidRPr="00DD5C70">
              <w:rPr>
                <w:rFonts w:cs="Times New Roman"/>
                <w:color w:val="000000"/>
                <w:lang w:val="en-US"/>
              </w:rPr>
              <w:t xml:space="preserve"> in </w:t>
            </w:r>
            <w:proofErr w:type="spellStart"/>
            <w:r>
              <w:rPr>
                <w:rFonts w:cs="Times New Roman"/>
                <w:color w:val="000000"/>
                <w:lang w:val="en-US"/>
              </w:rPr>
              <w:t>Pirot</w:t>
            </w:r>
            <w:proofErr w:type="spellEnd"/>
            <w:r w:rsidRPr="00DD5C70">
              <w:rPr>
                <w:rFonts w:cs="Times New Roman"/>
                <w:color w:val="000000"/>
                <w:lang w:val="en-US"/>
              </w:rPr>
              <w:t xml:space="preserve">, the Republic of Serbia. He obtained his academic degrees at the Faculty of Electronic Engineering in </w:t>
            </w:r>
            <w:proofErr w:type="spellStart"/>
            <w:r w:rsidRPr="00DD5C70">
              <w:rPr>
                <w:rFonts w:cs="Times New Roman"/>
                <w:color w:val="000000"/>
                <w:lang w:val="en-US"/>
              </w:rPr>
              <w:t>Niš</w:t>
            </w:r>
            <w:proofErr w:type="spellEnd"/>
            <w:r w:rsidRPr="00DD5C70">
              <w:rPr>
                <w:rFonts w:cs="Times New Roman"/>
                <w:color w:val="000000"/>
                <w:lang w:val="en-US"/>
              </w:rPr>
              <w:t xml:space="preserve">: </w:t>
            </w:r>
            <w:proofErr w:type="spellStart"/>
            <w:r w:rsidRPr="00DD5C70">
              <w:rPr>
                <w:rFonts w:cs="Times New Roman"/>
                <w:color w:val="000000"/>
                <w:lang w:val="en-US"/>
              </w:rPr>
              <w:t>BSc</w:t>
            </w:r>
            <w:proofErr w:type="spellEnd"/>
            <w:r w:rsidRPr="00DD5C70">
              <w:rPr>
                <w:rFonts w:cs="Times New Roman"/>
                <w:color w:val="000000"/>
                <w:lang w:val="en-US"/>
              </w:rPr>
              <w:t xml:space="preserve"> in 19</w:t>
            </w:r>
            <w:r>
              <w:rPr>
                <w:rFonts w:cs="Times New Roman"/>
                <w:color w:val="000000"/>
                <w:lang w:val="en-US"/>
              </w:rPr>
              <w:t>93</w:t>
            </w:r>
            <w:r w:rsidRPr="00DD5C70">
              <w:rPr>
                <w:rFonts w:cs="Times New Roman"/>
                <w:color w:val="000000"/>
                <w:lang w:val="en-US"/>
              </w:rPr>
              <w:t xml:space="preserve">, </w:t>
            </w:r>
            <w:proofErr w:type="spellStart"/>
            <w:r w:rsidRPr="00DD5C70">
              <w:rPr>
                <w:rFonts w:cs="Times New Roman"/>
                <w:color w:val="000000"/>
                <w:lang w:val="en-US"/>
              </w:rPr>
              <w:t>MSc</w:t>
            </w:r>
            <w:proofErr w:type="spellEnd"/>
            <w:r w:rsidRPr="00DD5C70">
              <w:rPr>
                <w:rFonts w:cs="Times New Roman"/>
                <w:color w:val="000000"/>
                <w:lang w:val="en-US"/>
              </w:rPr>
              <w:t xml:space="preserve"> in 19</w:t>
            </w:r>
            <w:r>
              <w:rPr>
                <w:rFonts w:cs="Times New Roman"/>
                <w:color w:val="000000"/>
                <w:lang w:val="en-US"/>
              </w:rPr>
              <w:t>97</w:t>
            </w:r>
            <w:r w:rsidRPr="00DD5C70">
              <w:rPr>
                <w:rFonts w:cs="Times New Roman"/>
                <w:color w:val="000000"/>
                <w:lang w:val="en-US"/>
              </w:rPr>
              <w:t xml:space="preserve">, and PhD in </w:t>
            </w:r>
            <w:r>
              <w:rPr>
                <w:rFonts w:cs="Times New Roman"/>
                <w:color w:val="000000"/>
                <w:lang w:val="en-US"/>
              </w:rPr>
              <w:t>2004</w:t>
            </w:r>
            <w:r w:rsidRPr="00DD5C70">
              <w:rPr>
                <w:rFonts w:cs="Times New Roman"/>
                <w:color w:val="000000"/>
                <w:lang w:val="en-US"/>
              </w:rPr>
              <w:t xml:space="preserve">. Presently he is employed as Full Professor at the University of </w:t>
            </w:r>
            <w:proofErr w:type="spellStart"/>
            <w:r w:rsidRPr="00DD5C70">
              <w:rPr>
                <w:rFonts w:cs="Times New Roman"/>
                <w:color w:val="000000"/>
                <w:lang w:val="en-US"/>
              </w:rPr>
              <w:t>Niš</w:t>
            </w:r>
            <w:proofErr w:type="spellEnd"/>
            <w:r w:rsidRPr="00DD5C70">
              <w:rPr>
                <w:rFonts w:cs="Times New Roman"/>
                <w:color w:val="000000"/>
                <w:lang w:val="en-US"/>
              </w:rPr>
              <w:t xml:space="preserve">, Faculty of Electronic Engineering, </w:t>
            </w:r>
            <w:proofErr w:type="gramStart"/>
            <w:r w:rsidRPr="00DD5C70">
              <w:rPr>
                <w:rFonts w:cs="Times New Roman"/>
                <w:color w:val="000000"/>
                <w:lang w:val="en-US"/>
              </w:rPr>
              <w:t>Department</w:t>
            </w:r>
            <w:proofErr w:type="gramEnd"/>
            <w:r w:rsidRPr="00DD5C70">
              <w:rPr>
                <w:rFonts w:cs="Times New Roman"/>
                <w:color w:val="000000"/>
                <w:lang w:val="en-US"/>
              </w:rPr>
              <w:t xml:space="preserve"> of </w:t>
            </w:r>
            <w:r>
              <w:rPr>
                <w:rFonts w:cs="Times New Roman"/>
                <w:color w:val="000000"/>
                <w:lang w:val="en-US"/>
              </w:rPr>
              <w:t>Computer Science</w:t>
            </w:r>
            <w:r w:rsidRPr="00DD5C70">
              <w:rPr>
                <w:rFonts w:cs="Times New Roman"/>
                <w:color w:val="000000"/>
                <w:lang w:val="en-US"/>
              </w:rPr>
              <w:t xml:space="preserve">. During his academic career, he was teaching over </w:t>
            </w:r>
            <w:r>
              <w:rPr>
                <w:rFonts w:cs="Times New Roman"/>
                <w:color w:val="000000"/>
                <w:lang w:val="en-US"/>
              </w:rPr>
              <w:t>twenty</w:t>
            </w:r>
            <w:r w:rsidRPr="00DD5C70">
              <w:rPr>
                <w:rFonts w:cs="Times New Roman"/>
                <w:color w:val="000000"/>
                <w:lang w:val="en-US"/>
              </w:rPr>
              <w:t xml:space="preserve"> different courses</w:t>
            </w:r>
            <w:r>
              <w:rPr>
                <w:rFonts w:cs="Times New Roman"/>
                <w:color w:val="000000"/>
                <w:lang w:val="en-US"/>
              </w:rPr>
              <w:t xml:space="preserve"> at all levels of </w:t>
            </w:r>
            <w:r w:rsidRPr="00DD5C70">
              <w:rPr>
                <w:rFonts w:cs="Times New Roman"/>
                <w:color w:val="000000"/>
                <w:lang w:val="en-US"/>
              </w:rPr>
              <w:t>academic</w:t>
            </w:r>
            <w:r>
              <w:rPr>
                <w:rFonts w:cs="Times New Roman"/>
                <w:color w:val="000000"/>
                <w:lang w:val="en-US"/>
              </w:rPr>
              <w:t xml:space="preserve"> studies</w:t>
            </w:r>
            <w:r w:rsidRPr="00DD5C70">
              <w:rPr>
                <w:rFonts w:cs="Times New Roman"/>
                <w:color w:val="000000"/>
                <w:lang w:val="en-US"/>
              </w:rPr>
              <w:t xml:space="preserve"> and wrote more than </w:t>
            </w:r>
            <w:r>
              <w:rPr>
                <w:rFonts w:cs="Times New Roman"/>
                <w:color w:val="000000"/>
                <w:lang w:val="en-US"/>
              </w:rPr>
              <w:t>20</w:t>
            </w:r>
            <w:r w:rsidRPr="00DD5C70">
              <w:rPr>
                <w:rFonts w:cs="Times New Roman"/>
                <w:color w:val="000000"/>
                <w:lang w:val="en-US"/>
              </w:rPr>
              <w:t xml:space="preserve">0 scientific papers for journals and conferences, mainly in </w:t>
            </w:r>
            <w:r>
              <w:rPr>
                <w:rFonts w:cs="Times New Roman"/>
                <w:color w:val="000000"/>
                <w:lang w:val="en-US"/>
              </w:rPr>
              <w:t>the following areas</w:t>
            </w:r>
            <w:r w:rsidRPr="00DD5C70">
              <w:rPr>
                <w:rFonts w:cs="Times New Roman"/>
                <w:color w:val="000000"/>
                <w:lang w:val="en-US"/>
              </w:rPr>
              <w:t xml:space="preserve">: </w:t>
            </w:r>
            <w:r>
              <w:rPr>
                <w:rFonts w:cs="Times New Roman"/>
                <w:color w:val="000000"/>
                <w:lang w:val="en-US"/>
              </w:rPr>
              <w:t>GIS</w:t>
            </w:r>
            <w:r w:rsidRPr="00DD5C70">
              <w:rPr>
                <w:rFonts w:cs="Times New Roman"/>
                <w:color w:val="000000"/>
                <w:lang w:val="en-US"/>
              </w:rPr>
              <w:t>,</w:t>
            </w:r>
            <w:r>
              <w:rPr>
                <w:rFonts w:cs="Times New Roman"/>
                <w:color w:val="000000"/>
                <w:lang w:val="en-US"/>
              </w:rPr>
              <w:t xml:space="preserve"> computer graphics, virtual and augmented reality</w:t>
            </w:r>
            <w:r w:rsidRPr="00DD5C70">
              <w:rPr>
                <w:rFonts w:cs="Times New Roman"/>
                <w:color w:val="000000"/>
                <w:lang w:val="en-US"/>
              </w:rPr>
              <w:t>,</w:t>
            </w:r>
            <w:r>
              <w:rPr>
                <w:rFonts w:cs="Times New Roman"/>
                <w:color w:val="000000"/>
                <w:lang w:val="en-US"/>
              </w:rPr>
              <w:t xml:space="preserve"> C4I, weather modification, AVL, emergency management, climate change, natural hazards,</w:t>
            </w:r>
            <w:r w:rsidRPr="00DD5C70">
              <w:rPr>
                <w:rFonts w:cs="Times New Roman"/>
                <w:color w:val="000000"/>
                <w:lang w:val="en-US"/>
              </w:rPr>
              <w:t xml:space="preserve"> etc. He participated in more than </w:t>
            </w:r>
            <w:r>
              <w:rPr>
                <w:rFonts w:cs="Times New Roman"/>
                <w:color w:val="000000"/>
                <w:lang w:val="en-US"/>
              </w:rPr>
              <w:t>30</w:t>
            </w:r>
            <w:r w:rsidRPr="00DD5C70">
              <w:rPr>
                <w:rFonts w:cs="Times New Roman"/>
                <w:color w:val="000000"/>
                <w:lang w:val="en-US"/>
              </w:rPr>
              <w:t xml:space="preserve"> different </w:t>
            </w:r>
            <w:r>
              <w:rPr>
                <w:rFonts w:cs="Times New Roman"/>
                <w:color w:val="000000"/>
                <w:lang w:val="en-US"/>
              </w:rPr>
              <w:t>national</w:t>
            </w:r>
            <w:r w:rsidRPr="00DD5C70">
              <w:rPr>
                <w:rFonts w:cs="Times New Roman"/>
                <w:color w:val="000000"/>
                <w:lang w:val="en-US"/>
              </w:rPr>
              <w:t xml:space="preserve"> and international projects</w:t>
            </w:r>
            <w:r>
              <w:rPr>
                <w:rFonts w:cs="Times New Roman"/>
                <w:color w:val="000000"/>
                <w:lang w:val="en-US"/>
              </w:rPr>
              <w:t>, including FP7, TEMPUS and IPA. He was coordinator of five national projects related to emergency management, natural hazards and climate change.</w:t>
            </w:r>
            <w:r w:rsidRPr="00DD5C70">
              <w:rPr>
                <w:rFonts w:cs="Times New Roman"/>
                <w:color w:val="000000"/>
                <w:lang w:val="en-US"/>
              </w:rPr>
              <w:t xml:space="preserve"> He is also a member of several professional organizations and a reviewer in </w:t>
            </w:r>
            <w:r>
              <w:rPr>
                <w:rFonts w:cs="Times New Roman"/>
                <w:color w:val="000000"/>
                <w:lang w:val="en-US"/>
              </w:rPr>
              <w:t>national and</w:t>
            </w:r>
            <w:r w:rsidRPr="00DD5C70">
              <w:rPr>
                <w:rFonts w:cs="Times New Roman"/>
                <w:color w:val="000000"/>
                <w:lang w:val="en-US"/>
              </w:rPr>
              <w:t xml:space="preserve"> international journals.</w:t>
            </w:r>
          </w:p>
          <w:p w:rsidR="00670CA2" w:rsidRDefault="00670CA2" w:rsidP="00FC1185">
            <w:pPr>
              <w:tabs>
                <w:tab w:val="left" w:pos="3649"/>
                <w:tab w:val="left" w:pos="5349"/>
                <w:tab w:val="left" w:pos="7992"/>
                <w:tab w:val="left" w:pos="9409"/>
                <w:tab w:val="left" w:pos="10778"/>
              </w:tabs>
              <w:jc w:val="both"/>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3937FE" w:rsidRPr="00F42134" w:rsidRDefault="00670CA2" w:rsidP="003937FE">
            <w:pPr>
              <w:tabs>
                <w:tab w:val="left" w:pos="3649"/>
                <w:tab w:val="left" w:pos="5349"/>
                <w:tab w:val="left" w:pos="7992"/>
                <w:tab w:val="left" w:pos="9409"/>
                <w:tab w:val="left" w:pos="10778"/>
              </w:tabs>
              <w:ind w:left="680" w:hanging="680"/>
              <w:rPr>
                <w:lang w:val="sl-SI"/>
              </w:rPr>
            </w:pPr>
            <w:r>
              <w:t>1.</w:t>
            </w:r>
            <w:r w:rsidR="00FC1185">
              <w:t xml:space="preserve"> </w:t>
            </w:r>
            <w:r w:rsidR="003937FE" w:rsidRPr="00F42134">
              <w:rPr>
                <w:b/>
                <w:lang w:val="sl-SI"/>
              </w:rPr>
              <w:t>Ran</w:t>
            </w:r>
            <w:r w:rsidR="003937FE">
              <w:rPr>
                <w:b/>
                <w:lang w:val="sl-SI"/>
              </w:rPr>
              <w:t>c</w:t>
            </w:r>
            <w:r w:rsidR="003937FE" w:rsidRPr="00F42134">
              <w:rPr>
                <w:b/>
                <w:lang w:val="sl-SI"/>
              </w:rPr>
              <w:t>i</w:t>
            </w:r>
            <w:r w:rsidR="003937FE">
              <w:rPr>
                <w:b/>
                <w:lang w:val="sl-SI"/>
              </w:rPr>
              <w:t>c</w:t>
            </w:r>
            <w:r w:rsidR="003937FE" w:rsidRPr="00F42134">
              <w:rPr>
                <w:lang w:val="sl-SI"/>
              </w:rPr>
              <w:t xml:space="preserve">, </w:t>
            </w:r>
            <w:r w:rsidR="003937FE" w:rsidRPr="00F42134">
              <w:rPr>
                <w:b/>
                <w:lang w:val="sl-SI"/>
              </w:rPr>
              <w:t>D</w:t>
            </w:r>
            <w:r w:rsidR="003937FE">
              <w:rPr>
                <w:lang w:val="sl-SI"/>
              </w:rPr>
              <w:t xml:space="preserve">., </w:t>
            </w:r>
            <w:r w:rsidR="003937FE" w:rsidRPr="00F42134">
              <w:rPr>
                <w:lang w:val="sl-SI"/>
              </w:rPr>
              <w:t>Predi</w:t>
            </w:r>
            <w:r w:rsidR="003937FE">
              <w:rPr>
                <w:lang w:val="sl-SI"/>
              </w:rPr>
              <w:t>c</w:t>
            </w:r>
            <w:r w:rsidR="003937FE" w:rsidRPr="00F42134">
              <w:rPr>
                <w:lang w:val="sl-SI"/>
              </w:rPr>
              <w:t xml:space="preserve">, </w:t>
            </w:r>
            <w:r w:rsidR="003937FE">
              <w:rPr>
                <w:lang w:val="sl-SI"/>
              </w:rPr>
              <w:t xml:space="preserve">B., </w:t>
            </w:r>
            <w:r w:rsidR="003937FE" w:rsidRPr="00F42134">
              <w:rPr>
                <w:lang w:val="sl-SI"/>
              </w:rPr>
              <w:t>Stojanovi</w:t>
            </w:r>
            <w:r w:rsidR="003937FE">
              <w:rPr>
                <w:lang w:val="sl-SI"/>
              </w:rPr>
              <w:t>c</w:t>
            </w:r>
            <w:r w:rsidR="003937FE" w:rsidRPr="00F42134">
              <w:rPr>
                <w:lang w:val="sl-SI"/>
              </w:rPr>
              <w:t xml:space="preserve">, </w:t>
            </w:r>
            <w:r w:rsidR="003937FE">
              <w:rPr>
                <w:lang w:val="sl-SI"/>
              </w:rPr>
              <w:t xml:space="preserve">D., </w:t>
            </w:r>
            <w:r w:rsidR="003937FE" w:rsidRPr="00F42134">
              <w:rPr>
                <w:lang w:val="sl-SI"/>
              </w:rPr>
              <w:t>Milosavljevi</w:t>
            </w:r>
            <w:r w:rsidR="003937FE">
              <w:rPr>
                <w:lang w:val="sl-SI"/>
              </w:rPr>
              <w:t>c</w:t>
            </w:r>
            <w:r w:rsidR="003937FE" w:rsidRPr="00F42134">
              <w:rPr>
                <w:lang w:val="sl-SI"/>
              </w:rPr>
              <w:t xml:space="preserve">, </w:t>
            </w:r>
            <w:r w:rsidR="003937FE">
              <w:rPr>
                <w:lang w:val="sl-SI"/>
              </w:rPr>
              <w:t xml:space="preserve">A., 2008. </w:t>
            </w:r>
            <w:r w:rsidR="003937FE" w:rsidRPr="00F42134">
              <w:rPr>
                <w:lang w:val="sl-SI"/>
              </w:rPr>
              <w:t>Mobile Devices as Personal GIS Client Platforms</w:t>
            </w:r>
            <w:r w:rsidR="003937FE">
              <w:rPr>
                <w:lang w:val="sl-SI"/>
              </w:rPr>
              <w:t>.</w:t>
            </w:r>
            <w:r w:rsidR="003937FE" w:rsidRPr="00F42134">
              <w:rPr>
                <w:i/>
                <w:lang w:val="sl-SI"/>
              </w:rPr>
              <w:t>International Journal of Computers</w:t>
            </w:r>
            <w:r w:rsidR="003937FE" w:rsidRPr="00F42134">
              <w:rPr>
                <w:lang w:val="sl-SI"/>
              </w:rPr>
              <w:t>2</w:t>
            </w:r>
            <w:r w:rsidR="003937FE">
              <w:rPr>
                <w:lang w:val="sl-SI"/>
              </w:rPr>
              <w:t>(</w:t>
            </w:r>
            <w:r w:rsidR="003937FE" w:rsidRPr="00F42134">
              <w:rPr>
                <w:lang w:val="sl-SI"/>
              </w:rPr>
              <w:t>4</w:t>
            </w:r>
            <w:r w:rsidR="003937FE">
              <w:rPr>
                <w:lang w:val="sl-SI"/>
              </w:rPr>
              <w:t>)</w:t>
            </w:r>
            <w:r w:rsidR="003937FE" w:rsidRPr="00F42134">
              <w:rPr>
                <w:lang w:val="sl-SI"/>
              </w:rPr>
              <w:t>, 470-478</w:t>
            </w:r>
            <w:r w:rsidR="003937FE">
              <w:rPr>
                <w:lang w:val="sl-SI"/>
              </w:rPr>
              <w:t>.</w:t>
            </w:r>
          </w:p>
          <w:p w:rsidR="003937FE" w:rsidRPr="00F42134" w:rsidRDefault="003937FE" w:rsidP="003937FE">
            <w:pPr>
              <w:tabs>
                <w:tab w:val="left" w:pos="3649"/>
                <w:tab w:val="left" w:pos="5349"/>
                <w:tab w:val="left" w:pos="7992"/>
                <w:tab w:val="left" w:pos="9409"/>
                <w:tab w:val="left" w:pos="10778"/>
              </w:tabs>
              <w:ind w:left="680" w:hanging="680"/>
              <w:rPr>
                <w:lang w:val="sl-SI"/>
              </w:rPr>
            </w:pPr>
            <w:r>
              <w:rPr>
                <w:lang w:val="sl-SI"/>
              </w:rPr>
              <w:t xml:space="preserve">2. </w:t>
            </w:r>
            <w:r w:rsidRPr="00F42134">
              <w:rPr>
                <w:lang w:val="sl-SI"/>
              </w:rPr>
              <w:t>Predi</w:t>
            </w:r>
            <w:r>
              <w:rPr>
                <w:lang w:val="sl-SI"/>
              </w:rPr>
              <w:t>c</w:t>
            </w:r>
            <w:r w:rsidRPr="00F42134">
              <w:rPr>
                <w:lang w:val="sl-SI"/>
              </w:rPr>
              <w:t>,</w:t>
            </w:r>
            <w:r>
              <w:rPr>
                <w:lang w:val="sl-SI"/>
              </w:rPr>
              <w:t xml:space="preserve"> B.,</w:t>
            </w:r>
            <w:r w:rsidRPr="00F42134">
              <w:rPr>
                <w:b/>
                <w:lang w:val="sl-SI"/>
              </w:rPr>
              <w:t>Ran</w:t>
            </w:r>
            <w:r>
              <w:rPr>
                <w:b/>
                <w:lang w:val="sl-SI"/>
              </w:rPr>
              <w:t>c</w:t>
            </w:r>
            <w:r w:rsidRPr="00F42134">
              <w:rPr>
                <w:b/>
                <w:lang w:val="sl-SI"/>
              </w:rPr>
              <w:t>i</w:t>
            </w:r>
            <w:r>
              <w:rPr>
                <w:b/>
                <w:lang w:val="sl-SI"/>
              </w:rPr>
              <w:t>c</w:t>
            </w:r>
            <w:r w:rsidRPr="00F42134">
              <w:rPr>
                <w:lang w:val="sl-SI"/>
              </w:rPr>
              <w:t xml:space="preserve">, </w:t>
            </w:r>
            <w:r>
              <w:rPr>
                <w:lang w:val="sl-SI"/>
              </w:rPr>
              <w:t xml:space="preserve">D., </w:t>
            </w:r>
            <w:r w:rsidRPr="00F42134">
              <w:rPr>
                <w:lang w:val="sl-SI"/>
              </w:rPr>
              <w:t>Milosavljevi</w:t>
            </w:r>
            <w:r>
              <w:rPr>
                <w:lang w:val="sl-SI"/>
              </w:rPr>
              <w:t>c</w:t>
            </w:r>
            <w:r w:rsidRPr="00F42134">
              <w:rPr>
                <w:lang w:val="sl-SI"/>
              </w:rPr>
              <w:t xml:space="preserve">, </w:t>
            </w:r>
            <w:r>
              <w:rPr>
                <w:lang w:val="sl-SI"/>
              </w:rPr>
              <w:t xml:space="preserve">A., 2010. </w:t>
            </w:r>
            <w:r w:rsidRPr="00F42134">
              <w:rPr>
                <w:lang w:val="sl-SI"/>
              </w:rPr>
              <w:t>Impacts of Applying Automated Vehicle Locations Systems to Public Bus Transport Management</w:t>
            </w:r>
            <w:r>
              <w:rPr>
                <w:lang w:val="sl-SI"/>
              </w:rPr>
              <w:t xml:space="preserve">. </w:t>
            </w:r>
            <w:r w:rsidRPr="00F42134">
              <w:rPr>
                <w:i/>
                <w:lang w:val="sl-SI"/>
              </w:rPr>
              <w:t xml:space="preserve">Journal of Research and Practice in Information Technology </w:t>
            </w:r>
            <w:r w:rsidRPr="00F42134">
              <w:rPr>
                <w:lang w:val="sl-SI"/>
              </w:rPr>
              <w:t>42</w:t>
            </w:r>
            <w:r>
              <w:rPr>
                <w:lang w:val="sl-SI"/>
              </w:rPr>
              <w:t>(</w:t>
            </w:r>
            <w:r w:rsidRPr="00F42134">
              <w:rPr>
                <w:lang w:val="sl-SI"/>
              </w:rPr>
              <w:t>2</w:t>
            </w:r>
            <w:r>
              <w:rPr>
                <w:lang w:val="sl-SI"/>
              </w:rPr>
              <w:t>)</w:t>
            </w:r>
            <w:r w:rsidRPr="00F42134">
              <w:rPr>
                <w:lang w:val="sl-SI"/>
              </w:rPr>
              <w:t>, 85-104</w:t>
            </w:r>
            <w:r>
              <w:rPr>
                <w:lang w:val="sl-SI"/>
              </w:rPr>
              <w:t>.</w:t>
            </w:r>
          </w:p>
          <w:p w:rsidR="003937FE" w:rsidRPr="00F42134" w:rsidRDefault="003937FE" w:rsidP="003937FE">
            <w:pPr>
              <w:tabs>
                <w:tab w:val="left" w:pos="3649"/>
                <w:tab w:val="left" w:pos="5349"/>
                <w:tab w:val="left" w:pos="7992"/>
                <w:tab w:val="left" w:pos="9409"/>
                <w:tab w:val="left" w:pos="10778"/>
              </w:tabs>
              <w:ind w:left="680" w:hanging="680"/>
              <w:rPr>
                <w:lang w:val="sl-SI"/>
              </w:rPr>
            </w:pPr>
            <w:r>
              <w:rPr>
                <w:lang w:val="sl-SI"/>
              </w:rPr>
              <w:t xml:space="preserve">3. </w:t>
            </w:r>
            <w:r w:rsidRPr="00F42134">
              <w:rPr>
                <w:lang w:val="sl-SI"/>
              </w:rPr>
              <w:t xml:space="preserve">Kuk, </w:t>
            </w:r>
            <w:r>
              <w:rPr>
                <w:lang w:val="sl-SI"/>
              </w:rPr>
              <w:t xml:space="preserve">K., </w:t>
            </w:r>
            <w:r w:rsidRPr="00F42134">
              <w:rPr>
                <w:lang w:val="sl-SI"/>
              </w:rPr>
              <w:t>Milentijevi</w:t>
            </w:r>
            <w:r>
              <w:rPr>
                <w:lang w:val="sl-SI"/>
              </w:rPr>
              <w:t>c</w:t>
            </w:r>
            <w:r w:rsidRPr="00F42134">
              <w:rPr>
                <w:lang w:val="sl-SI"/>
              </w:rPr>
              <w:t>,</w:t>
            </w:r>
            <w:r>
              <w:rPr>
                <w:lang w:val="sl-SI"/>
              </w:rPr>
              <w:t xml:space="preserve"> I.,</w:t>
            </w:r>
            <w:r w:rsidRPr="00F42134">
              <w:rPr>
                <w:b/>
                <w:lang w:val="sl-SI"/>
              </w:rPr>
              <w:t>Ran</w:t>
            </w:r>
            <w:r>
              <w:rPr>
                <w:b/>
                <w:lang w:val="sl-SI"/>
              </w:rPr>
              <w:t>c</w:t>
            </w:r>
            <w:r w:rsidRPr="00F42134">
              <w:rPr>
                <w:b/>
                <w:lang w:val="sl-SI"/>
              </w:rPr>
              <w:t>i</w:t>
            </w:r>
            <w:r>
              <w:rPr>
                <w:b/>
                <w:lang w:val="sl-SI"/>
              </w:rPr>
              <w:t>c</w:t>
            </w:r>
            <w:r w:rsidRPr="00F42134">
              <w:rPr>
                <w:lang w:val="sl-SI"/>
              </w:rPr>
              <w:t xml:space="preserve">, </w:t>
            </w:r>
            <w:r w:rsidRPr="00F42134">
              <w:rPr>
                <w:b/>
                <w:lang w:val="sl-SI"/>
              </w:rPr>
              <w:t>D.</w:t>
            </w:r>
            <w:r w:rsidRPr="00F42134">
              <w:rPr>
                <w:lang w:val="sl-SI"/>
              </w:rPr>
              <w:t>,Spalevi</w:t>
            </w:r>
            <w:r>
              <w:rPr>
                <w:lang w:val="sl-SI"/>
              </w:rPr>
              <w:t>c</w:t>
            </w:r>
            <w:r w:rsidRPr="00F42134">
              <w:rPr>
                <w:lang w:val="sl-SI"/>
              </w:rPr>
              <w:t>, P.</w:t>
            </w:r>
            <w:r>
              <w:rPr>
                <w:lang w:val="sl-SI"/>
              </w:rPr>
              <w:t xml:space="preserve">, 2012. </w:t>
            </w:r>
            <w:r w:rsidRPr="00F42134">
              <w:rPr>
                <w:lang w:val="sl-SI"/>
              </w:rPr>
              <w:t>Pedagogical agent in Multimedia Interactive Modules for Learning – MIMLE</w:t>
            </w:r>
            <w:r>
              <w:rPr>
                <w:lang w:val="sl-SI"/>
              </w:rPr>
              <w:t xml:space="preserve">. </w:t>
            </w:r>
            <w:r w:rsidRPr="00F42134">
              <w:rPr>
                <w:i/>
                <w:lang w:val="sl-SI"/>
              </w:rPr>
              <w:t>Expert Systems with Applications</w:t>
            </w:r>
            <w:r w:rsidRPr="00F42134">
              <w:rPr>
                <w:lang w:val="sl-SI"/>
              </w:rPr>
              <w:t>39</w:t>
            </w:r>
            <w:r>
              <w:rPr>
                <w:lang w:val="sl-SI"/>
              </w:rPr>
              <w:t>(</w:t>
            </w:r>
            <w:r w:rsidRPr="00F42134">
              <w:rPr>
                <w:lang w:val="sl-SI"/>
              </w:rPr>
              <w:t>9</w:t>
            </w:r>
            <w:r>
              <w:rPr>
                <w:lang w:val="sl-SI"/>
              </w:rPr>
              <w:t>)</w:t>
            </w:r>
            <w:r w:rsidRPr="00F42134">
              <w:rPr>
                <w:lang w:val="sl-SI"/>
              </w:rPr>
              <w:t>, 8051-8058</w:t>
            </w:r>
            <w:r>
              <w:rPr>
                <w:lang w:val="sl-SI"/>
              </w:rPr>
              <w:t>.</w:t>
            </w:r>
          </w:p>
          <w:p w:rsidR="003937FE" w:rsidRPr="00F42134" w:rsidRDefault="003937FE" w:rsidP="003937FE">
            <w:pPr>
              <w:tabs>
                <w:tab w:val="left" w:pos="3649"/>
                <w:tab w:val="left" w:pos="5349"/>
                <w:tab w:val="left" w:pos="7992"/>
                <w:tab w:val="left" w:pos="9409"/>
                <w:tab w:val="left" w:pos="10778"/>
              </w:tabs>
              <w:ind w:left="680" w:hanging="680"/>
              <w:rPr>
                <w:lang w:val="sl-SI"/>
              </w:rPr>
            </w:pPr>
            <w:r>
              <w:rPr>
                <w:color w:val="222222"/>
              </w:rPr>
              <w:t xml:space="preserve">4. </w:t>
            </w:r>
            <w:r w:rsidRPr="00F42134">
              <w:rPr>
                <w:color w:val="222222"/>
              </w:rPr>
              <w:t>Kuk</w:t>
            </w:r>
            <w:r>
              <w:rPr>
                <w:color w:val="222222"/>
              </w:rPr>
              <w:t>,</w:t>
            </w:r>
            <w:r w:rsidRPr="00F42134">
              <w:rPr>
                <w:color w:val="222222"/>
              </w:rPr>
              <w:t xml:space="preserve"> K</w:t>
            </w:r>
            <w:r>
              <w:rPr>
                <w:color w:val="222222"/>
              </w:rPr>
              <w:t>.</w:t>
            </w:r>
            <w:r w:rsidRPr="00F42134">
              <w:rPr>
                <w:color w:val="222222"/>
              </w:rPr>
              <w:t xml:space="preserve">, </w:t>
            </w:r>
            <w:r w:rsidRPr="00F42134">
              <w:rPr>
                <w:b/>
              </w:rPr>
              <w:t>Ranci</w:t>
            </w:r>
            <w:r>
              <w:rPr>
                <w:b/>
              </w:rPr>
              <w:t>c</w:t>
            </w:r>
            <w:r>
              <w:t>,</w:t>
            </w:r>
            <w:r w:rsidRPr="00F42134">
              <w:rPr>
                <w:b/>
                <w:color w:val="222222"/>
              </w:rPr>
              <w:t xml:space="preserve"> D</w:t>
            </w:r>
            <w:r>
              <w:rPr>
                <w:b/>
                <w:color w:val="222222"/>
              </w:rPr>
              <w:t>.</w:t>
            </w:r>
            <w:r w:rsidRPr="00F42134">
              <w:rPr>
                <w:color w:val="222222"/>
              </w:rPr>
              <w:t>, Spalevi</w:t>
            </w:r>
            <w:r>
              <w:rPr>
                <w:color w:val="222222"/>
              </w:rPr>
              <w:t>c,</w:t>
            </w:r>
            <w:r w:rsidRPr="00F42134">
              <w:rPr>
                <w:color w:val="222222"/>
              </w:rPr>
              <w:t xml:space="preserve"> P</w:t>
            </w:r>
            <w:r>
              <w:rPr>
                <w:color w:val="222222"/>
              </w:rPr>
              <w:t>.,</w:t>
            </w:r>
            <w:r w:rsidRPr="00F42134">
              <w:rPr>
                <w:color w:val="000000"/>
              </w:rPr>
              <w:t xml:space="preserve"> Traj</w:t>
            </w:r>
            <w:r>
              <w:rPr>
                <w:color w:val="000000"/>
              </w:rPr>
              <w:t>c</w:t>
            </w:r>
            <w:r w:rsidRPr="00F42134">
              <w:rPr>
                <w:color w:val="000000"/>
              </w:rPr>
              <w:t>evski</w:t>
            </w:r>
            <w:r>
              <w:rPr>
                <w:color w:val="000000"/>
              </w:rPr>
              <w:t>,</w:t>
            </w:r>
            <w:r w:rsidRPr="00F42134">
              <w:rPr>
                <w:color w:val="000000"/>
              </w:rPr>
              <w:t xml:space="preserve"> Z</w:t>
            </w:r>
            <w:r>
              <w:rPr>
                <w:color w:val="000000"/>
              </w:rPr>
              <w:t>.</w:t>
            </w:r>
            <w:r w:rsidRPr="00F42134">
              <w:rPr>
                <w:color w:val="000000"/>
              </w:rPr>
              <w:t>, Mi</w:t>
            </w:r>
            <w:r>
              <w:rPr>
                <w:color w:val="000000"/>
              </w:rPr>
              <w:t>c</w:t>
            </w:r>
            <w:r w:rsidRPr="00F42134">
              <w:rPr>
                <w:color w:val="000000"/>
              </w:rPr>
              <w:t>anovi</w:t>
            </w:r>
            <w:r>
              <w:rPr>
                <w:color w:val="000000"/>
              </w:rPr>
              <w:t>c</w:t>
            </w:r>
            <w:r w:rsidRPr="00F42134">
              <w:rPr>
                <w:color w:val="000000"/>
              </w:rPr>
              <w:t>,</w:t>
            </w:r>
            <w:r>
              <w:rPr>
                <w:color w:val="000000"/>
              </w:rPr>
              <w:t xml:space="preserve"> M., </w:t>
            </w:r>
            <w:r w:rsidRPr="00F42134">
              <w:rPr>
                <w:color w:val="000000"/>
              </w:rPr>
              <w:t>Use game based interactive multimedia modules to learning basic concepts on courses for computing science</w:t>
            </w:r>
            <w:r>
              <w:rPr>
                <w:color w:val="000000"/>
              </w:rPr>
              <w:t>.</w:t>
            </w:r>
            <w:r w:rsidRPr="00F42134">
              <w:rPr>
                <w:i/>
                <w:color w:val="000000"/>
              </w:rPr>
              <w:t xml:space="preserve">Electronic Review </w:t>
            </w:r>
            <w:r w:rsidRPr="00F42134">
              <w:rPr>
                <w:color w:val="000000"/>
              </w:rPr>
              <w:t>2B</w:t>
            </w:r>
            <w:r>
              <w:rPr>
                <w:color w:val="000000"/>
              </w:rPr>
              <w:t>(</w:t>
            </w:r>
            <w:r w:rsidRPr="00F42134">
              <w:rPr>
                <w:color w:val="000000"/>
              </w:rPr>
              <w:t>88</w:t>
            </w:r>
            <w:r>
              <w:rPr>
                <w:color w:val="000000"/>
              </w:rPr>
              <w:t>)</w:t>
            </w:r>
            <w:r w:rsidRPr="00F42134">
              <w:rPr>
                <w:color w:val="000000"/>
              </w:rPr>
              <w:t>, 150-153</w:t>
            </w:r>
            <w:r>
              <w:rPr>
                <w:color w:val="000000"/>
              </w:rPr>
              <w:t>.</w:t>
            </w:r>
          </w:p>
          <w:p w:rsidR="00670CA2" w:rsidRDefault="003937FE" w:rsidP="003937FE">
            <w:pPr>
              <w:ind w:left="709" w:hanging="709"/>
              <w:jc w:val="both"/>
            </w:pPr>
            <w:r>
              <w:rPr>
                <w:lang w:val="sl-SI"/>
              </w:rPr>
              <w:t xml:space="preserve">5. </w:t>
            </w:r>
            <w:r w:rsidRPr="00F42134">
              <w:rPr>
                <w:lang w:val="sl-SI"/>
              </w:rPr>
              <w:t>Kova</w:t>
            </w:r>
            <w:r>
              <w:rPr>
                <w:lang w:val="sl-SI"/>
              </w:rPr>
              <w:t>c</w:t>
            </w:r>
            <w:r w:rsidRPr="00F42134">
              <w:rPr>
                <w:lang w:val="sl-SI"/>
              </w:rPr>
              <w:t>evi</w:t>
            </w:r>
            <w:r>
              <w:rPr>
                <w:lang w:val="sl-SI"/>
              </w:rPr>
              <w:t>c</w:t>
            </w:r>
            <w:r w:rsidRPr="00F42134">
              <w:rPr>
                <w:lang w:val="sl-SI"/>
              </w:rPr>
              <w:t xml:space="preserve">, </w:t>
            </w:r>
            <w:r>
              <w:rPr>
                <w:lang w:val="sl-SI"/>
              </w:rPr>
              <w:t xml:space="preserve">M., </w:t>
            </w:r>
            <w:r w:rsidRPr="00F42134">
              <w:rPr>
                <w:lang w:val="sl-SI"/>
              </w:rPr>
              <w:t>Madi</w:t>
            </w:r>
            <w:r>
              <w:rPr>
                <w:lang w:val="sl-SI"/>
              </w:rPr>
              <w:t>c</w:t>
            </w:r>
            <w:r w:rsidRPr="00F42134">
              <w:rPr>
                <w:lang w:val="sl-SI"/>
              </w:rPr>
              <w:t xml:space="preserve">, </w:t>
            </w:r>
            <w:r>
              <w:rPr>
                <w:lang w:val="sl-SI"/>
              </w:rPr>
              <w:t xml:space="preserve">M., </w:t>
            </w:r>
            <w:r w:rsidRPr="00F42134">
              <w:rPr>
                <w:lang w:val="sl-SI"/>
              </w:rPr>
              <w:t>Radovanovi</w:t>
            </w:r>
            <w:r>
              <w:rPr>
                <w:lang w:val="sl-SI"/>
              </w:rPr>
              <w:t>c</w:t>
            </w:r>
            <w:r w:rsidRPr="00F42134">
              <w:rPr>
                <w:lang w:val="sl-SI"/>
              </w:rPr>
              <w:t xml:space="preserve">, </w:t>
            </w:r>
            <w:r>
              <w:rPr>
                <w:lang w:val="sl-SI"/>
              </w:rPr>
              <w:t xml:space="preserve">M., </w:t>
            </w:r>
            <w:r w:rsidRPr="00F42134">
              <w:rPr>
                <w:b/>
                <w:lang w:val="sl-SI"/>
              </w:rPr>
              <w:t>Ran</w:t>
            </w:r>
            <w:r>
              <w:rPr>
                <w:b/>
                <w:lang w:val="sl-SI"/>
              </w:rPr>
              <w:t>c</w:t>
            </w:r>
            <w:r w:rsidRPr="00F42134">
              <w:rPr>
                <w:b/>
                <w:lang w:val="sl-SI"/>
              </w:rPr>
              <w:t>i</w:t>
            </w:r>
            <w:r>
              <w:rPr>
                <w:b/>
                <w:lang w:val="sl-SI"/>
              </w:rPr>
              <w:t>c</w:t>
            </w:r>
            <w:r w:rsidRPr="00F42134">
              <w:rPr>
                <w:lang w:val="sl-SI"/>
              </w:rPr>
              <w:t xml:space="preserve">, </w:t>
            </w:r>
            <w:r w:rsidRPr="00F42134">
              <w:rPr>
                <w:b/>
                <w:lang w:val="sl-SI"/>
              </w:rPr>
              <w:t>D</w:t>
            </w:r>
            <w:r>
              <w:rPr>
                <w:lang w:val="sl-SI"/>
              </w:rPr>
              <w:t>., 2014.</w:t>
            </w:r>
            <w:r w:rsidRPr="00F42134">
              <w:rPr>
                <w:lang w:val="sl-SI"/>
              </w:rPr>
              <w:t xml:space="preserve"> Software prototype for solving multi-objective machining optimization problems: application in non-conventional machining processes</w:t>
            </w:r>
            <w:r>
              <w:rPr>
                <w:lang w:val="sl-SI"/>
              </w:rPr>
              <w:t>.</w:t>
            </w:r>
            <w:r w:rsidRPr="00F42134">
              <w:rPr>
                <w:i/>
                <w:lang w:val="sl-SI"/>
              </w:rPr>
              <w:t>Expert Systems with Applications</w:t>
            </w:r>
            <w:r w:rsidRPr="00F42134">
              <w:rPr>
                <w:lang w:val="sl-SI"/>
              </w:rPr>
              <w:t>41 (13), 5657-5668</w:t>
            </w:r>
            <w:r>
              <w:rPr>
                <w:lang w:val="sl-SI"/>
              </w:rPr>
              <w:t>.</w:t>
            </w:r>
          </w:p>
        </w:tc>
      </w:tr>
    </w:tbl>
    <w:p w:rsidR="00670CA2" w:rsidRDefault="003937FE" w:rsidP="00C911B8">
      <w:pPr>
        <w:spacing w:after="120" w:line="360" w:lineRule="auto"/>
        <w:ind w:left="284" w:right="902"/>
      </w:pPr>
      <w:r w:rsidRPr="009529F2">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6.3pt;margin-top:19.4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Default="00242A86" w:rsidP="00242A86">
      <w:bookmarkStart w:id="0" w:name="_GoBack"/>
      <w:bookmarkEnd w:id="0"/>
    </w:p>
    <w:p w:rsidR="00242A86" w:rsidRDefault="00242A86" w:rsidP="00242A86"/>
    <w:p w:rsidR="00242A86" w:rsidRDefault="00242A86" w:rsidP="00242A86"/>
    <w:p w:rsidR="00F25283" w:rsidRPr="00242A86" w:rsidRDefault="00F25283" w:rsidP="00242A86"/>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33" w:rsidRDefault="00F05B33">
      <w:r>
        <w:separator/>
      </w:r>
    </w:p>
  </w:endnote>
  <w:endnote w:type="continuationSeparator" w:id="0">
    <w:p w:rsidR="00F05B33" w:rsidRDefault="00F05B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33" w:rsidRDefault="00F05B33">
      <w:r>
        <w:separator/>
      </w:r>
    </w:p>
  </w:footnote>
  <w:footnote w:type="continuationSeparator" w:id="0">
    <w:p w:rsidR="00F05B33" w:rsidRDefault="00F05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47BC5"/>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37FE"/>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53751"/>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29F2"/>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06C9"/>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35288"/>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05B33"/>
    <w:rsid w:val="00F115F5"/>
    <w:rsid w:val="00F11C92"/>
    <w:rsid w:val="00F12C7C"/>
    <w:rsid w:val="00F25283"/>
    <w:rsid w:val="00F27049"/>
    <w:rsid w:val="00F34216"/>
    <w:rsid w:val="00F34547"/>
    <w:rsid w:val="00F65441"/>
    <w:rsid w:val="00F66384"/>
    <w:rsid w:val="00F922AF"/>
    <w:rsid w:val="00FA3218"/>
    <w:rsid w:val="00FC1185"/>
    <w:rsid w:val="00FC6D7C"/>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customStyle="1" w:styleId="hps">
    <w:name w:val="hps"/>
    <w:rsid w:val="00E352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79</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20</cp:revision>
  <cp:lastPrinted>2016-01-21T07:14:00Z</cp:lastPrinted>
  <dcterms:created xsi:type="dcterms:W3CDTF">2016-01-20T13:49:00Z</dcterms:created>
  <dcterms:modified xsi:type="dcterms:W3CDTF">2018-03-19T22:34:00Z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